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7579FEC0" w:rsidR="001877E3" w:rsidRDefault="007F73CB" w:rsidP="001877E3">
      <w:pPr>
        <w:pStyle w:val="TitleAbstractSSPCR"/>
      </w:pPr>
      <w:r>
        <w:t>Eco-welfare and the pathway towards eco-social policies: some first insights from a research focus on energy poverty in Trieste</w:t>
      </w:r>
    </w:p>
    <w:p w14:paraId="1869B70D" w14:textId="2F0F8B75" w:rsidR="001877E3" w:rsidRPr="007F73CB" w:rsidRDefault="007F73CB" w:rsidP="001877E3">
      <w:pPr>
        <w:pStyle w:val="AuthorNamesSSPCR"/>
        <w:rPr>
          <w:lang w:val="it-IT"/>
        </w:rPr>
      </w:pPr>
      <w:r w:rsidRPr="007F73CB">
        <w:rPr>
          <w:lang w:val="it-IT"/>
        </w:rPr>
        <w:t>Lorenzo De Vidovich</w:t>
      </w:r>
      <w:r w:rsidR="001877E3">
        <w:rPr>
          <w:rStyle w:val="Rimandonotaapidipagina"/>
        </w:rPr>
        <w:footnoteReference w:id="2"/>
      </w:r>
      <w:r w:rsidR="001877E3" w:rsidRPr="007F73CB">
        <w:rPr>
          <w:lang w:val="it-IT"/>
        </w:rPr>
        <w:t>,</w:t>
      </w:r>
      <w:r w:rsidRPr="007F73CB">
        <w:rPr>
          <w:lang w:val="it-IT"/>
        </w:rPr>
        <w:t xml:space="preserve"> Giovanni Carrosio</w:t>
      </w:r>
      <w:r w:rsidR="001877E3">
        <w:rPr>
          <w:rStyle w:val="Rimandonotaapidipagina"/>
        </w:rPr>
        <w:footnoteReference w:id="3"/>
      </w:r>
    </w:p>
    <w:p w14:paraId="02095FB8" w14:textId="0E5DE352" w:rsidR="003F7A16" w:rsidRPr="00D26175" w:rsidRDefault="003F7A16" w:rsidP="00D26175">
      <w:pPr>
        <w:pStyle w:val="KeywordsSSPCR"/>
      </w:pPr>
      <w:r w:rsidRPr="00D26175">
        <w:t xml:space="preserve">Keywords: </w:t>
      </w:r>
      <w:r w:rsidR="007F73CB">
        <w:t>energy poverty</w:t>
      </w:r>
      <w:r w:rsidR="004E3916">
        <w:t xml:space="preserve">; </w:t>
      </w:r>
      <w:r w:rsidR="007F73CB">
        <w:t>eco-welfare</w:t>
      </w:r>
      <w:r w:rsidR="004E3916">
        <w:t xml:space="preserve">; </w:t>
      </w:r>
      <w:r w:rsidR="007F73CB">
        <w:t>energy transition</w:t>
      </w:r>
      <w:r w:rsidR="004E3916">
        <w:t xml:space="preserve">; </w:t>
      </w:r>
      <w:r w:rsidR="007F73CB">
        <w:t>vulnerability</w:t>
      </w:r>
      <w:r w:rsidR="004E3916">
        <w:t>;</w:t>
      </w:r>
      <w:r w:rsidR="004E3916" w:rsidRPr="004E3916">
        <w:t xml:space="preserve"> </w:t>
      </w:r>
      <w:r w:rsidR="007F73CB">
        <w:t>Trieste</w:t>
      </w:r>
    </w:p>
    <w:p w14:paraId="14DA8F1D" w14:textId="7197FE9C" w:rsidR="0030633A" w:rsidRPr="00291B61" w:rsidRDefault="0030633A" w:rsidP="0030633A">
      <w:pPr>
        <w:pStyle w:val="AbstractAcknowledgementTextSSPCR"/>
        <w:numPr>
          <w:ilvl w:val="0"/>
          <w:numId w:val="0"/>
        </w:numPr>
        <w:rPr>
          <w:rFonts w:cs="Arial"/>
        </w:rPr>
      </w:pPr>
      <w:r w:rsidRPr="00291B61">
        <w:rPr>
          <w:rFonts w:cs="Arial"/>
        </w:rPr>
        <w:t>With the worsening of the climate crisis, several scholars have begun to look at the relationship between the environmental issue and the sustainability of welfare systems. From an analytical viewpoint, this reflection concerns the consequences of the de-carbonization of welfare</w:t>
      </w:r>
      <w:r w:rsidR="007F73CB" w:rsidRPr="00291B61">
        <w:rPr>
          <w:rFonts w:cs="Arial"/>
        </w:rPr>
        <w:t>,</w:t>
      </w:r>
      <w:r w:rsidRPr="00291B61">
        <w:rPr>
          <w:rFonts w:cs="Arial"/>
        </w:rPr>
        <w:t xml:space="preserve"> and the disentanglement between economic growth and redistributive forms of support for the social rights</w:t>
      </w:r>
      <w:r w:rsidR="007F73CB" w:rsidRPr="00291B61">
        <w:rPr>
          <w:rFonts w:cs="Arial"/>
        </w:rPr>
        <w:t xml:space="preserve">, </w:t>
      </w:r>
      <w:r w:rsidRPr="00291B61">
        <w:rPr>
          <w:rFonts w:cs="Arial"/>
        </w:rPr>
        <w:t>resulting in an interdependency between the fiscal crisis of the State and the environmental crisis</w:t>
      </w:r>
      <w:r w:rsidR="007F73CB" w:rsidRPr="00291B61">
        <w:rPr>
          <w:rFonts w:cs="Arial"/>
        </w:rPr>
        <w:t>.</w:t>
      </w:r>
    </w:p>
    <w:p w14:paraId="248EA619" w14:textId="39C868C6" w:rsidR="001877E3" w:rsidRPr="00291B61" w:rsidRDefault="0030633A" w:rsidP="009C0EB7">
      <w:pPr>
        <w:pStyle w:val="AbstractAcknowledgementTextSSPCR"/>
        <w:numPr>
          <w:ilvl w:val="0"/>
          <w:numId w:val="0"/>
        </w:numPr>
        <w:rPr>
          <w:rFonts w:cs="Arial"/>
        </w:rPr>
      </w:pPr>
      <w:r w:rsidRPr="00291B61">
        <w:rPr>
          <w:rFonts w:cs="Arial"/>
        </w:rPr>
        <w:t>In this respect, a great deal of attention has been recently devoted to the sustainability of welfare systems, by also involving issues of justice, democracy, decentralization of services’ delivery, and de-carbonization. In this respect, the theoretical configuration of eco-welfare represents a valuable perspective to address these overarching issues, insofar as it enables to frame the environmental and social policies not as separate areas, but rather as one constitutive of the other. Eco-welfare entails the twofold aim of ensuring principles of social equity in the energy transition, and of accelerating the process towards low-carbon energy consumption, considered more just and sustainable. Yet, the issue of how to mobilize and put into action eco-</w:t>
      </w:r>
      <w:r w:rsidR="007F73CB" w:rsidRPr="00291B61">
        <w:rPr>
          <w:rFonts w:cs="Arial"/>
        </w:rPr>
        <w:t>social policies</w:t>
      </w:r>
      <w:r w:rsidRPr="00291B61">
        <w:rPr>
          <w:rFonts w:cs="Arial"/>
        </w:rPr>
        <w:t xml:space="preserve"> deserves further attention</w:t>
      </w:r>
      <w:r w:rsidR="007F73CB" w:rsidRPr="00291B61">
        <w:rPr>
          <w:rFonts w:cs="Arial"/>
        </w:rPr>
        <w:t>. W</w:t>
      </w:r>
      <w:r w:rsidRPr="00291B61">
        <w:rPr>
          <w:rFonts w:cs="Arial"/>
        </w:rPr>
        <w:t>hilst from an analytical viewpoint the contradiction between the environmental crisis and the fiscal crisis is supported by a robust literature, the empirical repercussions</w:t>
      </w:r>
      <w:r w:rsidR="007F73CB" w:rsidRPr="00291B61">
        <w:rPr>
          <w:rFonts w:cs="Arial"/>
        </w:rPr>
        <w:t xml:space="preserve"> of</w:t>
      </w:r>
      <w:r w:rsidRPr="00291B61">
        <w:rPr>
          <w:rFonts w:cs="Arial"/>
        </w:rPr>
        <w:t xml:space="preserve"> policies capable of </w:t>
      </w:r>
      <w:r w:rsidR="007F73CB" w:rsidRPr="00291B61">
        <w:rPr>
          <w:rFonts w:cs="Arial"/>
        </w:rPr>
        <w:t xml:space="preserve">building an interplay between welfare and the environment have </w:t>
      </w:r>
      <w:r w:rsidRPr="00291B61">
        <w:rPr>
          <w:rFonts w:cs="Arial"/>
        </w:rPr>
        <w:t xml:space="preserve">not yet been processed. In the light of the recent increase of energy expenditure, the topic of energy poverty comes as a helpful field of study to enact the eco-welfare framework </w:t>
      </w:r>
      <w:r w:rsidR="007F73CB" w:rsidRPr="00291B61">
        <w:rPr>
          <w:rFonts w:cs="Arial"/>
        </w:rPr>
        <w:t xml:space="preserve">through </w:t>
      </w:r>
      <w:r w:rsidRPr="00291B61">
        <w:rPr>
          <w:rFonts w:cs="Arial"/>
        </w:rPr>
        <w:t xml:space="preserve">empirical implications. Drawing on some first reflections based upon qualitative-led investigations in </w:t>
      </w:r>
      <w:r w:rsidR="00814AE9" w:rsidRPr="00291B61">
        <w:rPr>
          <w:rFonts w:cs="Arial"/>
        </w:rPr>
        <w:t>some public housing estates of the</w:t>
      </w:r>
      <w:r w:rsidRPr="00291B61">
        <w:rPr>
          <w:rFonts w:cs="Arial"/>
        </w:rPr>
        <w:t xml:space="preserve"> city of Trieste, the paper </w:t>
      </w:r>
      <w:r w:rsidRPr="00291B61">
        <w:rPr>
          <w:rFonts w:cs="Arial"/>
        </w:rPr>
        <w:lastRenderedPageBreak/>
        <w:t xml:space="preserve">discusses the social implications related to energy poverty and the relevance of a ‘consensual approach’, which involves </w:t>
      </w:r>
      <w:r w:rsidR="00814AE9" w:rsidRPr="00291B61">
        <w:rPr>
          <w:rFonts w:cs="Arial"/>
        </w:rPr>
        <w:t>inhabitants’</w:t>
      </w:r>
      <w:r w:rsidRPr="00291B61">
        <w:rPr>
          <w:rFonts w:cs="Arial"/>
        </w:rPr>
        <w:t xml:space="preserve"> perspective to grasp the reasons behind a situation of inability to keep the domestic spaces adequately warm and to afford the energy expenditure. In addition, the paper identifies renewable energy communities (RECs) as possible solutions to tackle such shortage conditions, although their development in public housing </w:t>
      </w:r>
      <w:r w:rsidR="00814AE9" w:rsidRPr="00291B61">
        <w:rPr>
          <w:rFonts w:cs="Arial"/>
        </w:rPr>
        <w:t>buildings</w:t>
      </w:r>
      <w:r w:rsidRPr="00291B61">
        <w:rPr>
          <w:rFonts w:cs="Arial"/>
        </w:rPr>
        <w:t xml:space="preserve"> seems challenging at a first sight. In so doing, the paper aims at nurturing an eco-welfare standpoint in the study of the territorial dimensions of energy transition, bridging the gap between technical knowledge and social implications towards a “just” transition.</w:t>
      </w:r>
    </w:p>
    <w:sectPr w:rsidR="001877E3" w:rsidRPr="00291B61"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39F3F" w14:textId="77777777" w:rsidR="005C0D69" w:rsidRDefault="005C0D69" w:rsidP="008279F5">
      <w:pPr>
        <w:spacing w:after="0"/>
      </w:pPr>
      <w:r>
        <w:separator/>
      </w:r>
    </w:p>
  </w:endnote>
  <w:endnote w:type="continuationSeparator" w:id="0">
    <w:p w14:paraId="20BDF413" w14:textId="77777777" w:rsidR="005C0D69" w:rsidRDefault="005C0D69" w:rsidP="008279F5">
      <w:pPr>
        <w:spacing w:after="0"/>
      </w:pPr>
      <w:r>
        <w:continuationSeparator/>
      </w:r>
    </w:p>
  </w:endnote>
  <w:endnote w:type="continuationNotice" w:id="1">
    <w:p w14:paraId="3DB200D3" w14:textId="77777777" w:rsidR="005C0D69" w:rsidRDefault="005C0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MT">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DB3A2" w14:textId="77777777" w:rsidR="005C0D69" w:rsidRDefault="005C0D69" w:rsidP="008279F5">
      <w:pPr>
        <w:spacing w:after="0"/>
      </w:pPr>
      <w:r>
        <w:separator/>
      </w:r>
    </w:p>
  </w:footnote>
  <w:footnote w:type="continuationSeparator" w:id="0">
    <w:p w14:paraId="0E85EB96" w14:textId="77777777" w:rsidR="005C0D69" w:rsidRDefault="005C0D69" w:rsidP="008279F5">
      <w:pPr>
        <w:spacing w:after="0"/>
      </w:pPr>
      <w:r>
        <w:continuationSeparator/>
      </w:r>
    </w:p>
  </w:footnote>
  <w:footnote w:type="continuationNotice" w:id="1">
    <w:p w14:paraId="48ADEA63" w14:textId="77777777" w:rsidR="005C0D69" w:rsidRDefault="005C0D69">
      <w:pPr>
        <w:spacing w:after="0"/>
      </w:pPr>
    </w:p>
  </w:footnote>
  <w:footnote w:id="2">
    <w:p w14:paraId="05D0EE84" w14:textId="17595816"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7F73CB">
        <w:rPr>
          <w:sz w:val="16"/>
          <w:szCs w:val="16"/>
          <w:lang w:val="en-US"/>
        </w:rPr>
        <w:t>Department of Political and Social Sciences, University of Trieste, Piazzale Europa 1, 34127</w:t>
      </w:r>
      <w:r w:rsidR="009C0EB7">
        <w:rPr>
          <w:sz w:val="16"/>
          <w:szCs w:val="16"/>
          <w:lang w:val="en-US"/>
        </w:rPr>
        <w:t>,</w:t>
      </w:r>
      <w:r w:rsidR="00990C40">
        <w:rPr>
          <w:sz w:val="16"/>
          <w:szCs w:val="16"/>
          <w:lang w:val="en-US"/>
        </w:rPr>
        <w:t xml:space="preserve"> Trieste</w:t>
      </w:r>
      <w:r w:rsidRPr="001877E3">
        <w:rPr>
          <w:sz w:val="16"/>
          <w:szCs w:val="16"/>
          <w:lang w:val="en-US"/>
        </w:rPr>
        <w:t xml:space="preserve"> </w:t>
      </w:r>
      <w:hyperlink r:id="rId1" w:history="1">
        <w:r w:rsidR="009C0EB7" w:rsidRPr="009C0EB7">
          <w:rPr>
            <w:rStyle w:val="Collegamentoipertestuale"/>
            <w:color w:val="000000" w:themeColor="text1"/>
            <w:sz w:val="16"/>
            <w:szCs w:val="16"/>
            <w:lang w:val="en-US"/>
          </w:rPr>
          <w:t>lorenzoraimondo.devidovich@dispes.units.it</w:t>
        </w:r>
      </w:hyperlink>
    </w:p>
  </w:footnote>
  <w:footnote w:id="3">
    <w:p w14:paraId="3B5AF570" w14:textId="540D221B"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9C0EB7">
        <w:rPr>
          <w:sz w:val="16"/>
          <w:szCs w:val="16"/>
          <w:lang w:val="en-US"/>
        </w:rPr>
        <w:t>Department of Political and Social Sciences, University of Trieste, Piazzale Europa 1, 34127</w:t>
      </w:r>
      <w:r w:rsidRPr="001877E3">
        <w:rPr>
          <w:sz w:val="16"/>
          <w:szCs w:val="16"/>
          <w:lang w:val="en-US"/>
        </w:rPr>
        <w:t xml:space="preserve">, </w:t>
      </w:r>
      <w:r w:rsidR="00990C40">
        <w:rPr>
          <w:sz w:val="16"/>
          <w:szCs w:val="16"/>
          <w:lang w:val="en-US"/>
        </w:rPr>
        <w:t xml:space="preserve">Trieste </w:t>
      </w:r>
      <w:hyperlink r:id="rId2" w:history="1">
        <w:r w:rsidR="00990C40" w:rsidRPr="00990C40">
          <w:rPr>
            <w:rStyle w:val="Collegamentoipertestuale"/>
            <w:color w:val="000000" w:themeColor="text1"/>
            <w:sz w:val="16"/>
            <w:szCs w:val="16"/>
            <w:lang w:val="en-US"/>
          </w:rPr>
          <w:t>gcarrosio@units.it</w:t>
        </w:r>
      </w:hyperlink>
      <w:r w:rsidR="009C0EB7" w:rsidRPr="00990C40">
        <w:rPr>
          <w:color w:val="000000" w:themeColor="text1"/>
          <w:sz w:val="16"/>
          <w:szCs w:val="16"/>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3"/>
  </w:num>
  <w:num w:numId="4">
    <w:abstractNumId w:val="9"/>
  </w:num>
  <w:num w:numId="5">
    <w:abstractNumId w:val="4"/>
  </w:num>
  <w:num w:numId="6">
    <w:abstractNumId w:val="5"/>
  </w:num>
  <w:num w:numId="7">
    <w:abstractNumId w:val="7"/>
  </w:num>
  <w:num w:numId="8">
    <w:abstractNumId w:val="31"/>
  </w:num>
  <w:num w:numId="9">
    <w:abstractNumId w:val="27"/>
  </w:num>
  <w:num w:numId="10">
    <w:abstractNumId w:val="21"/>
  </w:num>
  <w:num w:numId="11">
    <w:abstractNumId w:val="10"/>
  </w:num>
  <w:num w:numId="12">
    <w:abstractNumId w:val="39"/>
  </w:num>
  <w:num w:numId="13">
    <w:abstractNumId w:val="32"/>
  </w:num>
  <w:num w:numId="14">
    <w:abstractNumId w:val="23"/>
  </w:num>
  <w:num w:numId="15">
    <w:abstractNumId w:val="40"/>
  </w:num>
  <w:num w:numId="16">
    <w:abstractNumId w:val="33"/>
  </w:num>
  <w:num w:numId="17">
    <w:abstractNumId w:val="29"/>
  </w:num>
  <w:num w:numId="18">
    <w:abstractNumId w:val="17"/>
  </w:num>
  <w:num w:numId="19">
    <w:abstractNumId w:val="25"/>
  </w:num>
  <w:num w:numId="20">
    <w:abstractNumId w:val="16"/>
  </w:num>
  <w:num w:numId="21">
    <w:abstractNumId w:val="3"/>
  </w:num>
  <w:num w:numId="22">
    <w:abstractNumId w:val="35"/>
  </w:num>
  <w:num w:numId="23">
    <w:abstractNumId w:val="6"/>
  </w:num>
  <w:num w:numId="24">
    <w:abstractNumId w:val="36"/>
  </w:num>
  <w:num w:numId="25">
    <w:abstractNumId w:val="38"/>
  </w:num>
  <w:num w:numId="26">
    <w:abstractNumId w:val="11"/>
  </w:num>
  <w:num w:numId="27">
    <w:abstractNumId w:val="8"/>
  </w:num>
  <w:num w:numId="28">
    <w:abstractNumId w:val="28"/>
  </w:num>
  <w:num w:numId="29">
    <w:abstractNumId w:val="26"/>
  </w:num>
  <w:num w:numId="30">
    <w:abstractNumId w:val="37"/>
  </w:num>
  <w:num w:numId="31">
    <w:abstractNumId w:val="15"/>
  </w:num>
  <w:num w:numId="32">
    <w:abstractNumId w:val="1"/>
  </w:num>
  <w:num w:numId="33">
    <w:abstractNumId w:val="34"/>
  </w:num>
  <w:num w:numId="34">
    <w:abstractNumId w:val="20"/>
  </w:num>
  <w:num w:numId="35">
    <w:abstractNumId w:val="30"/>
  </w:num>
  <w:num w:numId="36">
    <w:abstractNumId w:val="14"/>
  </w:num>
  <w:num w:numId="37">
    <w:abstractNumId w:val="0"/>
  </w:num>
  <w:num w:numId="38">
    <w:abstractNumId w:val="24"/>
  </w:num>
  <w:num w:numId="39">
    <w:abstractNumId w:val="22"/>
  </w:num>
  <w:num w:numId="40">
    <w:abstractNumId w:val="18"/>
  </w:num>
  <w:num w:numId="41">
    <w:abstractNumId w:val="24"/>
  </w:num>
  <w:num w:numId="42">
    <w:abstractNumId w:val="24"/>
  </w:num>
  <w:num w:numId="4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1B61"/>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33A"/>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0D69"/>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3CB"/>
    <w:rsid w:val="007F7BCC"/>
    <w:rsid w:val="00800192"/>
    <w:rsid w:val="00800C28"/>
    <w:rsid w:val="00800F48"/>
    <w:rsid w:val="00804DFD"/>
    <w:rsid w:val="00805D1F"/>
    <w:rsid w:val="00807181"/>
    <w:rsid w:val="008073A1"/>
    <w:rsid w:val="00807670"/>
    <w:rsid w:val="00813019"/>
    <w:rsid w:val="00813FC3"/>
    <w:rsid w:val="00814AE9"/>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0C40"/>
    <w:rsid w:val="00991198"/>
    <w:rsid w:val="00994322"/>
    <w:rsid w:val="00995D70"/>
    <w:rsid w:val="0099745B"/>
    <w:rsid w:val="009A2F32"/>
    <w:rsid w:val="009A5D26"/>
    <w:rsid w:val="009B21CE"/>
    <w:rsid w:val="009C0EB7"/>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3C0D"/>
    <w:rsid w:val="00BB7B0E"/>
    <w:rsid w:val="00BC07BF"/>
    <w:rsid w:val="00BC2180"/>
    <w:rsid w:val="00BC35D5"/>
    <w:rsid w:val="00BC3F7B"/>
    <w:rsid w:val="00BC45DB"/>
    <w:rsid w:val="00BC547D"/>
    <w:rsid w:val="00BC5C60"/>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mailto:gcarrosio@units.it" TargetMode="External"/><Relationship Id="rId1" Type="http://schemas.openxmlformats.org/officeDocument/2006/relationships/hyperlink" Target="mailto:lorenzoraimondo.devidovich@dispes.units.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DADE99D4-51F7-4A14-8206-A2283C8AD2AC}"/>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430</Words>
  <Characters>2456</Characters>
  <Application>Microsoft Office Word</Application>
  <DocSecurity>0</DocSecurity>
  <Lines>20</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2881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Lorenzo Raimondo De Vidovich</cp:lastModifiedBy>
  <cp:revision>5</cp:revision>
  <cp:lastPrinted>2017-03-13T18:23:00Z</cp:lastPrinted>
  <dcterms:created xsi:type="dcterms:W3CDTF">2022-04-05T11:11:00Z</dcterms:created>
  <dcterms:modified xsi:type="dcterms:W3CDTF">2022-04-05T13:06:00Z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